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KommHV-Doppik (Bayern) — Verfahren bei zwangsweiser Einziehung</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Gehen Einzahlungen nicht rechtzeitig ein und sind sie erfolglos angemahnt, so hat die Kasse unverzüglich die Vollstreckung einzuleiten oder zu veranlassen. Sie kann hiervon zunächst absehen, wenn zu erkennen ist, dass</w:t>
      </w:r>
    </w:p>
    <w:p>
      <w:r>
        <w:t xml:space="preserve">1. die Vollziehung des der Annahmeanordnung zugrunde liegenden Bescheids ausgesetzt wird,</w:t>
      </w:r>
    </w:p>
    <w:p>
      <w:r>
        <w:t xml:space="preserve">2. eine Stundung, Niederschlagung oder ein Erlass in Betracht kommt.</w:t>
      </w:r>
    </w:p>
    <w:p>
      <w:r>
        <w:t xml:space="preserve">In diesen Fällen hat sie unverzüglich die Entscheidung der zuständigen Dienststelle herbeizuführen.</w:t>
      </w:r>
    </w:p>
    <w:p>
      <w:r>
        <w:rPr>
          <w:color w:val="555555"/>
          <w:sz w:val="17"/>
        </w:rPr>
        <w:t xml:space="preserve">Zitiervorschlag: § 48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