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KommHV-Doppik (Bayern) — Ausnahmen vom Erfordernis der Kassenanordnung</w:t>
      </w:r>
    </w:p>
    <w:p>
      <w:r>
        <w:rPr>
          <w:color w:val="555555"/>
          <w:sz w:val="18"/>
        </w:rPr>
        <w:t xml:space="preserve">Kommunalhaushaltsverordnung-Doppik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Ist für die Kasse zu erkennen, dass sie empfangsberechtigt ist, hat sie Einzahlungen auch ohne Annahmeanordnung anzunehmen und zu buchen. Die Annahmeanordnung ist unverzüglich einzuholen.</w:t>
      </w:r>
    </w:p>
    <w:p>
      <w:r>
        <w:t xml:space="preserve">(2) Ohne Annahmeanordnung dürfen angenommen und gebucht werden</w:t>
      </w:r>
    </w:p>
    <w:p>
      <w:r>
        <w:t xml:space="preserve">1. Kassenmittel, die die Kasse von einer anderen Stelle für Auszahlungen für Rechnung dieser Stelle erhält,</w:t>
      </w:r>
    </w:p>
    <w:p>
      <w:r>
        <w:t xml:space="preserve">2. Einzahlungen, die irrtümlich bei der Kasse eingezahlt und nach Abs. 3 Nr. 2 zurückgezahlt oder weitergeleitet werden,</w:t>
      </w:r>
    </w:p>
    <w:p>
      <w:r>
        <w:t xml:space="preserve">3. Einzahlungen, die die Kasse nach § 38 Abs. 2 selbst festsetzt.</w:t>
      </w:r>
    </w:p>
    <w:p>
      <w:r>
        <w:t xml:space="preserve">In den Fällen des § 37 Abs. 1 Satz 3 kann die Annahmeanordnung entfallen.</w:t>
      </w:r>
    </w:p>
    <w:p>
      <w:r>
        <w:t xml:space="preserve">(3) Ohne Auszahlungsanordnung dürfen ausgezahlt und gebucht werden</w:t>
      </w:r>
    </w:p>
    <w:p>
      <w:r>
        <w:t xml:space="preserve">1. die an eine andere Stelle abzuführenden Mittel, die für deren Rechnung angenommen wurden,</w:t>
      </w:r>
    </w:p>
    <w:p>
      <w:r>
        <w:t xml:space="preserve">2. irrtümlich eingezahlte Beträge, die an den Einzahler zurückgezahlt oder an den Empfangsberechtigten weitergeleitet werden.</w:t>
      </w:r>
    </w:p>
    <w:p>
      <w:r>
        <w:rPr>
          <w:color w:val="555555"/>
          <w:sz w:val="17"/>
        </w:rPr>
        <w:t xml:space="preserve">Zitiervorschlag: § 46 KommHV-Doppik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https://recht.nulegal.eu/gesetze/KommHV-Doppik/46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