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KommHV-Doppik (Bayern) — Einrichtung und Geschäftsgang der Kasse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Kasse ist so einzurichten, dass</w:t>
      </w:r>
    </w:p>
    <w:p>
      <w:r>
        <w:t xml:space="preserve">1. sie ihre Aufgaben ordnungsmäßig und wirtschaftlich erledigen kann,</w:t>
      </w:r>
    </w:p>
    <w:p>
      <w:r>
        <w:t xml:space="preserve">2. für die Sicherheit der Beschäftigten gegen Überfälle angemessen gesorgt ist,</w:t>
      </w:r>
    </w:p>
    <w:p>
      <w:r>
        <w:t xml:space="preserve">3. Datenverarbeitungseinrichtungen oder -systeme, Automaten für den Zahlungsverkehr und andere technische Hilfsmittel nicht unbefugt benutzt werden können und</w:t>
      </w:r>
    </w:p>
    <w:p>
      <w:r>
        <w:t xml:space="preserve">4. die Zahlungsmittel, die zu verwahrenden Wertgegenstände, die Bücher und Belege sicher aufbewahrt werden können.</w:t>
      </w:r>
    </w:p>
    <w:p>
      <w:r>
        <w:t xml:space="preserve">(2) Zahlungsverkehr und Buchführung sollen nicht von denselben Beschäftigten wahrgenommen werden.</w:t>
      </w:r>
    </w:p>
    <w:p>
      <w:r>
        <w:t xml:space="preserve">(3) Überweisungsaufträge, Abbuchungsaufträge, Einzugsermächtigungen und Schecks sind von zwei Beschäftigten zu unterzeichnen. Beim Einsatz automatisierter Verfahren können die Unterschriften durch elektronische Signaturen (§ 98 Nr. 21) ersetzt werden.</w:t>
      </w:r>
    </w:p>
    <w:p>
      <w:r>
        <w:t xml:space="preserve">(4) Sendungen, die an die Kasse gerichtet sind, sind ihr ungeöffnet zuzuleiten. Zahlungsmittel und Wertsendungen, die bei einer anderen Dienststelle eingehen, sind unverzüglich an die Kasse weiterzuleiten.</w:t>
      </w:r>
    </w:p>
    <w:p>
      <w:r>
        <w:rPr>
          <w:color w:val="555555"/>
          <w:sz w:val="17"/>
        </w:rPr>
        <w:t xml:space="preserve">Zitiervorschlag: § 39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