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KommHV-Doppik (Bayern) — Aufgaben der Kasse</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Zu den Kassengeschäften gehören</w:t>
      </w:r>
    </w:p>
    <w:p>
      <w:r>
        <w:t xml:space="preserve">1. die Annahme der Einzahlungen und die Leistung der Auszahlungen,</w:t>
      </w:r>
    </w:p>
    <w:p>
      <w:r>
        <w:t xml:space="preserve">2. die Verwaltung der Kassenmittel,</w:t>
      </w:r>
    </w:p>
    <w:p>
      <w:r>
        <w:t xml:space="preserve">3. die Verwahrung von Wertgegenständen,</w:t>
      </w:r>
    </w:p>
    <w:p>
      <w:r>
        <w:t xml:space="preserve">4. die Buchführung einschließlich der Sammlung der Belege, soweit nicht eine andere Stelle damit beauftragt ist.</w:t>
      </w:r>
    </w:p>
    <w:p>
      <w:r>
        <w:t xml:space="preserve">(2) Der Kasse obliegen außerdem die Mahnung, die Vollstreckung, die Festsetzung, Stundung, Niederschlagung und der Erlass von Mahngebühren, Vollstreckungskosten und Nebenforderungen (Zinsen und Säumniszuschläge), soweit in anderen Vorschriften nichts anderes bestimmt oder nicht eine andere Stelle damit beauftragt ist.</w:t>
      </w:r>
    </w:p>
    <w:p>
      <w:r>
        <w:t xml:space="preserve">(3) Der Kasse können weitere Aufgaben übertragen werden, soweit Vorschriften dieser Verordnung nicht entgegenstehen und die Erledigung der Aufgaben nach Abs. 1 und 2 nicht beeinträchtigt wird.</w:t>
      </w:r>
    </w:p>
    <w:p>
      <w:r>
        <w:t xml:space="preserve">(4) Mit der Festsetzung, Stundung, Niederschlagung und dem Erlass von Mahngebühren, Vollstreckungskosten und Nebenforderungen sollen nur Beschäftigte der Kasse beauftragt werden, die nicht selbst Einzahlungen annehmen oder Auszahlungen leisten.</w:t>
      </w:r>
    </w:p>
    <w:p>
      <w:r>
        <w:rPr>
          <w:color w:val="555555"/>
          <w:sz w:val="17"/>
        </w:rPr>
        <w:t xml:space="preserve">Zitiervorschlag: § 38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