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KommHV-Doppik (Bayern) — Sachliche und rechnerische Feststellung von Kassenanordnungen</w:t>
      </w:r>
    </w:p>
    <w:p>
      <w:r>
        <w:rPr>
          <w:color w:val="555555"/>
          <w:sz w:val="18"/>
        </w:rPr>
        <w:t xml:space="preserve">Kommunalhaushaltsverordnung-Doppik</w:t>
      </w:r>
    </w:p>
    <w:p>
      <w:r>
        <w:rPr>
          <w:color w:val="555555"/>
          <w:sz w:val="18"/>
        </w:rPr>
        <w:t xml:space="preserve">Landesrecht Bayern</w:t>
      </w:r>
    </w:p>
    <w:p>
      <w:r>
        <w:rPr>
          <w:color w:val="555555"/>
          <w:sz w:val="18"/>
        </w:rPr>
        <w:t xml:space="preserve">Stand: 25.08.2026 (konsolidierte Textfassung, kein amtliches Inkrafttretensdatum)</w:t>
      </w:r>
    </w:p>
    <w:p>
      <w:r>
        <w:t xml:space="preserve">(1) Alle eine Buchung auslösenden Vorfälle, insbesondere jeder Anspruch und jede Zahlungsverpflichtung sind auf ihren Grund und ihre Höhe zu prüfen. Die Richtigkeit ist schriftlich oder durch eine elektronische Signatur zu bescheinigen (sachliche und rechnerische Feststellung). Die Feststellung nach Satz 2 kann bei der maschinellen Ermittlung von Ansprüchen und Zahlungsverpflichtungen mit Hilfe automatisierter Verfahren in begründeten Ausnahmefällen in Abstimmung mit dem örtlichen Prüfungsorgan durch geeignete organisatorische und technische Maßnahmen ersetzt werden; die Rechtsaufsichtsbehörde ist zu informieren. In den Fällen des § 46 Abs. 2 Nrn. 1 und 2 und Abs. 3 entfällt eine sachliche und rechnerische Feststellung.</w:t>
      </w:r>
    </w:p>
    <w:p>
      <w:r>
        <w:t xml:space="preserve">(2) Bedarf es einer Annahmeanordnung oder Auszahlungsanordnung im Sinn des § 35, ist die sachliche und rechnerische Feststellung vor Erteilung der Anordnung zu treffen. Sonst ist die Feststellung nach Eingang oder Leistung der Zahlung unverzüglich nachzuholen.</w:t>
      </w:r>
    </w:p>
    <w:p>
      <w:r>
        <w:t xml:space="preserve">(3) Die Befugnis für die sachliche und rechnerische Feststellung und deren Form wird durch Dienstanweisung geregelt. § 34 Abs. 2 Satz 2 und § 38 Abs. 4 gelten entsprechend. Beschäftigten der Kasse darf die Befugnis, abgesehen von den Fällen des § 46 Abs. 2 und 3, nur erteilt werden, wenn und soweit der Sachverhalt nur von ihnen beurteilt werden kann; § 34 Abs. 2 Satz 2 und § 38 Abs. 4 gelten entsprechend.</w:t>
      </w:r>
    </w:p>
    <w:p>
      <w:r>
        <w:rPr>
          <w:color w:val="555555"/>
          <w:sz w:val="17"/>
        </w:rPr>
        <w:t xml:space="preserve">Zitiervorschlag: § 37 KommHV-Doppik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https://recht.nulegal.eu/gesetze/KommHV-Doppik/37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