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KommHV-Doppik (Bayern) — Zahlungsanordnungen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Zahlungsanordnung muss enthalten</w:t>
      </w:r>
    </w:p>
    <w:p>
      <w:r>
        <w:t xml:space="preserve">1. die Bezeichnung der Kasse, gegebenenfalls auch der Zahlstelle, die die Einzahlung annehmen oder die Auszahlung leisten soll,</w:t>
      </w:r>
    </w:p>
    <w:p>
      <w:r>
        <w:t xml:space="preserve">2. den anzunehmenden oder auszuzahlenden Betrag in Ziffern und, soweit die Zahlungsanordnung manuell erstellt wird, bei Euro-Beträgen ab 500 Euro auch in Buchstaben,</w:t>
      </w:r>
    </w:p>
    <w:p>
      <w:r>
        <w:t xml:space="preserve">3. den Grund der Zahlung,</w:t>
      </w:r>
    </w:p>
    <w:p>
      <w:r>
        <w:t xml:space="preserve">4. den Zahlungspflichtigen oder Empfangsberechtigten,</w:t>
      </w:r>
    </w:p>
    <w:p>
      <w:r>
        <w:t xml:space="preserve">5. den Fälligkeitstag,</w:t>
      </w:r>
    </w:p>
    <w:p>
      <w:r>
        <w:t xml:space="preserve">6. die Buchungsstelle und das Haushaltsjahr,</w:t>
      </w:r>
    </w:p>
    <w:p>
      <w:r>
        <w:t xml:space="preserve">7. die sachliche und rechnerische Feststellung nach § 37 Abs. 1,</w:t>
      </w:r>
    </w:p>
    <w:p>
      <w:r>
        <w:t xml:space="preserve">8. das Datum der Anordnung,</w:t>
      </w:r>
    </w:p>
    <w:p>
      <w:r>
        <w:t xml:space="preserve">9. die Unterschrift des Anordnungsberechtigten.</w:t>
      </w:r>
    </w:p>
    <w:p>
      <w:r>
        <w:t xml:space="preserve">Bei automatisierten Verfahren kann die Unterschrift des Anordnungsberechtigten durch eine elektronische Signatur (§ 98 Nr. 21) ersetzt werden.</w:t>
      </w:r>
    </w:p>
    <w:p>
      <w:r>
        <w:t xml:space="preserve">(2) Ist die Feststellung nach Abs. 1 Satz 1 Nr. 7 nicht mit der Zahlungsanordnung verbunden, ist in der Zahlungsanordnung zu bestätigen, dass sie vorliegt.</w:t>
      </w:r>
    </w:p>
    <w:p>
      <w:r>
        <w:t xml:space="preserve">(3) Zahlungsanordnungen sind unverzüglich zu erteilen, sobald die Verpflichtung zur Leistung, der Zahlungspflichtige oder Empfangsberechtigte, der Betrag und die Fälligkeit feststehen.</w:t>
      </w:r>
    </w:p>
    <w:p>
      <w:r>
        <w:t xml:space="preserve">(4) Auszahlungsanordnungen zulasten des Haushalts dürfen nur erteilt werden, wenn die haushaltsrechtlichen Voraussetzungen vorliegen. Das ist in der Auszahlungsanordnung zu bestätigen.</w:t>
      </w:r>
    </w:p>
    <w:p>
      <w:r>
        <w:rPr>
          <w:color w:val="555555"/>
          <w:sz w:val="17"/>
        </w:rPr>
        <w:t xml:space="preserve">Zitiervorschlag: § 35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