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KommHV-Doppik (Bayern) — Vorläufige Rechnungsvorgänge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Auszahlung, die sich auf den Haushalt bezieht, darf als sonstige Forderung nur behandelt werden, wenn die Verpflichtung zur Leistung feststeht, die Deckung gewährleistet ist und die Zuordnung zu haushaltswirksamen Konten nicht oder noch nicht möglich ist.</w:t>
      </w:r>
    </w:p>
    <w:p>
      <w:r>
        <w:t xml:space="preserve">(2) Eine Einzahlung, die sich auf den Haushalt bezieht, darf als sonstige Verbindlichkeit nur behandelt werden, wenn eine Zuordnung zu haushaltswirksamen Konten nicht oder noch nicht möglich ist.</w:t>
      </w:r>
    </w:p>
    <w:p>
      <w:r>
        <w:rPr>
          <w:color w:val="555555"/>
          <w:sz w:val="17"/>
        </w:rPr>
        <w:t xml:space="preserve">Zitiervorschlag: § 29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