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KommHV-Doppik (Bayern) — Berichtspflicht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Gemeinderat, Kreistag oder Bezirkstag entscheidet über Zahl und Umfang der unterjährigen Berichte.</w:t>
      </w:r>
    </w:p>
    <w:p>
      <w:r>
        <w:t xml:space="preserve">(2) Der Gemeinderat, Kreistag oder Bezirkstag ist unverzüglich zu unterrichten, wenn</w:t>
      </w:r>
    </w:p>
    <w:p>
      <w:r>
        <w:t xml:space="preserve">1. eine haushaltswirtschaftliche Sperre nach § 28 verfügt worden ist,</w:t>
      </w:r>
    </w:p>
    <w:p>
      <w:r>
        <w:t xml:space="preserve">2. sich abzeichnet, dass sich das Planergebnis von Ergebnishaushalt oder Finanzhaushalt wesentlich verschlechtert, oder</w:t>
      </w:r>
    </w:p>
    <w:p>
      <w:r>
        <w:t xml:space="preserve">3. erkennbar wird, dass sich die Gesamtauszahlungen einer Maßnahme des Finanzhaushalts nicht nur geringfügig erhöhen werden.</w:t>
      </w:r>
    </w:p>
    <w:p>
      <w:r>
        <w:rPr>
          <w:color w:val="555555"/>
          <w:sz w:val="17"/>
        </w:rPr>
        <w:t xml:space="preserve">Zitiervorschlag: § 27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