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KommHV-Doppik (Bayern) — Bewirtschaftung und Überwachung der Aufwendungen und Auszahlungen</w:t>
      </w:r>
    </w:p>
    <w:p>
      <w:r>
        <w:rPr>
          <w:color w:val="555555"/>
          <w:sz w:val="18"/>
        </w:rPr>
        <w:t xml:space="preserve">Kommunalhaushaltsverordnung-Doppik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Haushaltsansätze sind so zu bewirtschaften, dass sie für die im Haushaltsjahr anfallenden Aufwendungen und Auszahlungen ausreichen; sie dürfen erst dann in Anspruch genommen werden, wenn die Erfüllung der Aufgaben es erfordert.</w:t>
      </w:r>
    </w:p>
    <w:p>
      <w:r>
        <w:t xml:space="preserve">(2) Ansätze für Auszahlungen des Finanzhaushalts dürfen nur in Anspruch genommen werden, soweit Deckungsmittel rechtzeitig bereitgestellt werden können. Dabei darf die Finanzierung anderer, bereits begonnener Maßnahmen nicht beeinträchtigt werden.</w:t>
      </w:r>
    </w:p>
    <w:p>
      <w:r>
        <w:t xml:space="preserve">(3) Vor Beginn einer Maßnahme nach § 12 Abs. 3 und 4 soll bei Hochbauten ein Kostenanschlag nach DIN 276 vorliegen. Bei anderen Baumaßnahmen soll entsprechend verfahren werden.</w:t>
      </w:r>
    </w:p>
    <w:p>
      <w:r>
        <w:t xml:space="preserve">(4) Vor Beginn einer Baumaßnahme nach § 12 Abs. 5 müssen bei Hochbauten mindestens eine gebilligte Kostenberechnung nach DIN 276 und ein Bauzeitenplan vorliegen. Bei anderen Baumaßnahmen ist entsprechend zu verfahren.</w:t>
      </w:r>
    </w:p>
    <w:p>
      <w:r>
        <w:t xml:space="preserve">(5) Die Inanspruchnahme der Haushaltsansätze einschließlich der über- und außerplanmäßigen Aufwendungen und Auszahlungen ist zu überwachen. Die bei den einzelnen Teilhaushalten und Budgets noch zur Verfügung stehenden Mittel für Aufwendungen und Auszahlungen müssen stets erkennbar sein.</w:t>
      </w:r>
    </w:p>
    <w:p>
      <w:r>
        <w:t xml:space="preserve">(6) Abs. 1 und 5 gelten für die Inanspruchnahme von Verpflichtungsermächtigungen sinngemäß.</w:t>
      </w:r>
    </w:p>
    <w:p>
      <w:r>
        <w:rPr>
          <w:color w:val="555555"/>
          <w:sz w:val="17"/>
        </w:rPr>
        <w:t xml:space="preserve">Zitiervorschlag: § 26 KommHV-Doppik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https://recht.nulegal.eu/gesetze/KommHV-Doppik/26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