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KommHV-Doppik (Bayern) — Liquidität</w:t>
      </w:r>
    </w:p>
    <w:p>
      <w:r>
        <w:rPr>
          <w:color w:val="555555"/>
          <w:sz w:val="18"/>
        </w:rPr>
        <w:t xml:space="preserve">Kommunalhaushaltsverordnung-Doppik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liquiden Mittel müssen für ihren Zweck rechtzeitig verfügbar sein.</w:t>
      </w:r>
    </w:p>
    <w:p>
      <w:r>
        <w:t xml:space="preserve">(2) Liquide Mittel, die für Auszahlungen im Finanzhaushalt nicht benötigt werden, sind sicher und ertragbringend anzulegen (Art. 74 Abs. 2 Satz 2 GO, Art. 68 Abs. 2 Satz 2 LKrO, Art. 66 Abs. 2 Satz 2 BezO). Die Sicherheitsanforderungen, die Verwaltung der Geldanlagen und regelmäßige Berichtspflichten sind durch Dienstanweisung zu regeln.</w:t>
      </w:r>
    </w:p>
    <w:p>
      <w:r>
        <w:t xml:space="preserve">(3) Die vorübergehende Verwendung liquider Mittel aus angesammelten langfristigen Rückstellungen für andere Zwecke ist im Anhang zum Jahresabschluss darzustellen.</w:t>
      </w:r>
    </w:p>
    <w:p>
      <w:r>
        <w:rPr>
          <w:color w:val="555555"/>
          <w:sz w:val="17"/>
        </w:rPr>
        <w:t xml:space="preserve">Zitiervorschlag: § 22 KommHV-Doppik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https://recht.nulegal.eu/gesetze/KommHV-Doppik/22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