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KommHV-Doppik (Bayern) — Zweckbindung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Erträge sind auf die Verwendung für bestimmte Aufwendungen zu beschränken, soweit sich dies aus einer rechtlichen Verpflichtung ergibt. Sie können auf die Verwendung für bestimmte Aufwendungen beschränkt werden,</w:t>
      </w:r>
    </w:p>
    <w:p>
      <w:r>
        <w:t xml:space="preserve">1. wenn die Beschränkung sich aus der Herkunft oder Natur der Erträge ergibt oder</w:t>
      </w:r>
    </w:p>
    <w:p>
      <w:r>
        <w:t xml:space="preserve">2. wenn ein sachlicher Zusammenhang dies erfordert und durch die Zweckbindung die Bewirtschaftung der Mittel erleichtert wird.</w:t>
      </w:r>
    </w:p>
    <w:p>
      <w:r>
        <w:t xml:space="preserve">Zweckgebundene Mehrerträge dürfen für entsprechende Mehraufwendungen verwendet werden.</w:t>
      </w:r>
    </w:p>
    <w:p>
      <w:r>
        <w:t xml:space="preserve">(2) Im Haushaltsplan kann bestimmt werden, dass bestimmte Mehrerträge bestimmte Aufwendungsansätze des Ergebnishaushalts erhöhen oder bestimmte Mindererträge bestimmte Aufwendungsansätze vermindern. Ausgenommen hiervon sind Erträge aus Steuern, allgemeinen Zuweisungen und Umlagen.</w:t>
      </w:r>
    </w:p>
    <w:p>
      <w:r>
        <w:t xml:space="preserve">(3) Mehraufwendungen nach Abs. 1 und 2 gelten nicht als überplanmäßige Aufwendungen.</w:t>
      </w:r>
    </w:p>
    <w:p>
      <w:r>
        <w:t xml:space="preserve">(4) Abs. 1 und 3 gelten für Einzahlungen und Auszahlungen entsprechend.</w:t>
      </w:r>
    </w:p>
    <w:p>
      <w:r>
        <w:rPr>
          <w:color w:val="555555"/>
          <w:sz w:val="17"/>
        </w:rPr>
        <w:t xml:space="preserve">Zitiervorschlag: § 19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