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KommHV-Doppik (Bayern) — Grundsatz der Gesamtdeckung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in dieser Verordnung nichts anderes bestimmt ist, dienen</w:t>
      </w:r>
    </w:p>
    <w:p>
      <w:r>
        <w:t xml:space="preserve">1. die Erträge des Ergebnishaushalts insgesamt zur Deckung der Aufwendungen des Ergebnishaushalts und</w:t>
      </w:r>
    </w:p>
    <w:p>
      <w:r>
        <w:t xml:space="preserve">2. die Einzahlungen des Finanzhaushalts insgesamt zur Deckung der Auszahlungen des Finanzhaushalts.</w:t>
      </w:r>
    </w:p>
    <w:p>
      <w:r>
        <w:rPr>
          <w:color w:val="555555"/>
          <w:sz w:val="17"/>
        </w:rPr>
        <w:t xml:space="preserve">Zitiervorschlag: § 18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