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15 KommHV-Doppik (Bayern) — Durchlaufende Gelder, fremde Finanzmittel</w:t>
      </w:r>
    </w:p>
    <w:p>
      <w:r>
        <w:rPr>
          <w:color w:val="555555"/>
          <w:sz w:val="18"/>
        </w:rPr>
        <w:t xml:space="preserve">Kommunalhaushaltsverordnung-Doppik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Im Finanzhaushalt werden nicht veranschlagt, sind aber in geeigneter Weise auszuweisen</w:t>
      </w:r>
    </w:p>
    <w:p>
      <w:r>
        <w:t xml:space="preserve">1. durchlaufende Finanzmittel,</w:t>
      </w:r>
    </w:p>
    <w:p>
      <w:r>
        <w:t xml:space="preserve">2. Finanzmittel, die auf Grund eines Gesetzes unmittelbar für den Haushalt eines anderen öffentlichen Aufgabenträgers eingenommen oder ausgegeben werden, einschließlich der zur Selbstbewirtschaftung zugewiesenen Mittel,</w:t>
      </w:r>
    </w:p>
    <w:p>
      <w:r>
        <w:t xml:space="preserve">3. Finanzmittel, die die Kasse des zur Übernahme der Kosten endgültig verpflichteten Aufgabenträgers oder eine andere Kasse, die unmittelbar mit dem zur Übernahme der Kosten endgültig verpflichteten Aufgabenträger abrechnet, einnimmt oder ausgibt.</w:t>
      </w:r>
    </w:p>
    <w:p>
      <w:r>
        <w:rPr>
          <w:color w:val="555555"/>
          <w:sz w:val="17"/>
        </w:rPr>
        <w:t xml:space="preserve">Zitiervorschlag: § 15 KommHV-Doppik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https://recht.nulegal.eu/gesetze/KommHV-Doppik/15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