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KommHV-Doppik (Bayern) — Verpflichtungsermächtigungen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Verpflichtungsermächtigungen sind in den Teilhaushalten maßnahmenbezogen zu veranschlagen. Dabei ist anzugeben, wie sich die Belastungen voraussichtlich auf die künftigen Jahre verteilen werden.</w:t>
      </w:r>
    </w:p>
    <w:p>
      <w:r>
        <w:t xml:space="preserve">(2) Es kann erklärt werden, dass innerhalb eines Produktbereichs einzelne Verpflichtungsermächtigungen auch für andere Investitionen und Investitonsförderungsmaßnahmen in Anspruch genommen werden können, wenn deren voraussichtliche Folgekosten (§ 12 Abs. 3 Nr. 3) nicht höher sind und der Haushaltsausgleich künftiger Jahre nicht gefährdet ist. Der in der Haushaltssatzung festgesetzte Gesamtbetrag der Verpflichtungsermächtigungen darf nicht überschritten werden.</w:t>
      </w:r>
    </w:p>
    <w:p>
      <w:r>
        <w:rPr>
          <w:color w:val="555555"/>
          <w:sz w:val="17"/>
        </w:rPr>
        <w:t xml:space="preserve">Zitiervorschlag: § 11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