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KommHV-Doppik (Bayern) — Allgemeine Planungsgrundsätze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Erträge und Aufwendungen sind in ihrer voraussichtlich im Haushaltsjahr wirtschaftlich verursachten Höhe, die Einzahlungen und Auszahlungen in Höhe der im Haushaltsjahr voraussichtlich eingehenden oder zu leistenden Beträge zu veranschlagen; sie sind sorgfältig zu schätzen, soweit sie nicht errechenbar sind.</w:t>
      </w:r>
    </w:p>
    <w:p>
      <w:r>
        <w:t xml:space="preserve">(2) Die Erträge, Aufwendungen, Einzahlungen und Auszahlungen sind in voller Höhe und getrennt voneinander zu veranschlagen, soweit in dieser Verordnung nichts anderes bestimmt ist.</w:t>
      </w:r>
    </w:p>
    <w:p>
      <w:r>
        <w:t xml:space="preserve">(3) Im Gesamthaushalt und in den Teilhaushalten sind Erträge und Einzahlungen sowie Aufwendungen und Auszahlungen produktorientiert (§§ 2, 3 und 4) zu veranschlagen.</w:t>
      </w:r>
    </w:p>
    <w:p>
      <w:r>
        <w:t xml:space="preserve">(4) Für denselben Zweck sollen Aufwendungen und Auszahlungen nicht an verschiedenen Stellen im Haushaltsplan veranschlagt werden. Wird ausnahmsweise anders verfahren, ist auf die Ansätze gegenseitig zu verweisen.</w:t>
      </w:r>
    </w:p>
    <w:p>
      <w:r>
        <w:t xml:space="preserve">(5) Die Ziele und Kennzahlen nach § 4 Abs. 3 bilden die Grundlage für die Erfolgskontrolle und Steuerung der Haushaltswirtschaft.</w:t>
      </w:r>
    </w:p>
    <w:p>
      <w:r>
        <w:rPr>
          <w:color w:val="555555"/>
          <w:sz w:val="17"/>
        </w:rPr>
        <w:t xml:space="preserve">Zitiervorschlag: § 10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