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KomWG (Sachsen) — Inhalt und Form der Wahlvorschläge</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Jeder Wahlvorschlag darf in Gemeinden mit einem Wahlkreis höchstens eineinhalbmal soviel Bewerber enthalten, wie Gemeinderäte zu wählen sind. In den übrigen Gemeinden wird die höchstzulässige Zahl an Bewerbern jedes Wahlvorschlags in der Weise ermittelt, dass die Zahl der zu wählenden Gemeinderäte durch die Zahl der Wahlkreise geteilt und die sich hieraus ergebende Zahl mit der Zahl 1,5 multipliziert wird; Bruchteile der hiernach ermittelten Zahl werden aufgerundet.</w:t>
      </w:r>
    </w:p>
    <w:p>
      <w:r>
        <w:t xml:space="preserve">(2) Mit dem Wahlvorschlag ist eine Erklärung jedes Bewerbers einzureichen, dass er der Aufnahme in den Wahlvorschlag zugestimmt hat. Die Zustimmung ist unwiderruflich. Ein Bewerber darf sich nicht in mehrere Wahlvorschläge aufnehmen lassen.</w:t>
      </w:r>
    </w:p>
    <w:p>
      <w:r>
        <w:t xml:space="preserve">(3) Wer die Staatsangehörigkeit eines anderen Mitgliedsstaates der Europäischen Union besitzt (Unionsbürger) und sich um einen Sitz im Gemeinderat bewirbt, hat bis zum Ende der Einreichungsfrist gegenüber dem Vorsitzenden des Gemeindewahlausschusses zusätzlich an Eides statt zu versichern, dass er im Herkunftsmitgliedsstaat die Wählbarkeit nicht verloren hat. Sofern er nach § 26 des Bundesmeldegesetzes von der Meldepflicht befreit ist, hat er ferner an Eides statt zu versichern, seit wann er in der Gemeinde eine Wohnung, bei mehreren Wohnungen in der Bundesrepublik Deutschland seine Hauptwohnung hat; bei mehreren Wohnungen in der Bundesrepublik Deutschland sind deren Anschriften anzugeben. § 6c Absatz 7 Satz 3 gilt entsprechend. Bei Zweifeln an der Richtigkeit der Versicherung an Eides statt nach Satz 1 ist vom Bewerber die Vorlage einer Bescheinigung der zuständigen Verwaltungsbehörde seines Herkunftsmitgliedsstaates zu verlangen, dass er in diesem Mitgliedsstaat seine Wählbarkeit nicht verloren hat oder dass dieser Behörde ein solcher Verlust nicht bekannt ist.</w:t>
      </w:r>
    </w:p>
    <w:p>
      <w:r>
        <w:t xml:space="preserve">(4) Wahlvorschläge von Parteien und von mitgliedschaftlich organisierten Wählervereinigungen sind von dem für das Wahlgebiet zuständigen Vorstand oder sonst Vertretungsberechtigten eigenhändig zu unterzeichnen. Besteht der Vorstand oder sonst Vertretungsberechtigte aus mehr als drei Mitgliedern, genügt die Unterschrift von drei Mitgliedern, darunter die des Vorsitzenden oder seines Stellvertreters. Wahlvorschläge von nicht mitgliedschaftlich organisierten Wählervereinigungen sind von drei wahlberechtigten Angehörigen zu unterzeichnen, die an der Versammlung nach § 6c Absatz 2 teilgenommen haben. Für die Einreichung des Wahlvorschlags einschließlich aller Anlagen ist die elektronische Form ausgeschlossen.</w:t>
      </w:r>
    </w:p>
    <w:p>
      <w:r>
        <w:t xml:space="preserve">(5) In jedem Wahlvorschlag sollen eine Vertrauensperson und eine stellvertretende Vertrauensperson bezeichnet werden. Fehlt diese Bezeichnung, so gilt der erste Unterzeichner des Wahlvorschlags als Vertrauensperson und der zweite Unterzeichner als stellvertretende Vertrauensperson. Soweit in diesem Gesetz und in der Kommunalwahlordnung nichts anderes bestimmt ist, sind nur die Vertrauenspersonen, jede für sich, berechtigt, verbindliche Erklärungen zum Wahlvorschlag abzugeben und Erklärungen von Wahlorganen entgegenzunehmen. Vertrauenspersonen können durch Erklärung der Mehrheit der Unterzeichner des Wahlvorschlags an den Vorsitzenden des Gemeindewahlausschusses abberufen und durch andere ersetzt werden.</w:t>
      </w:r>
    </w:p>
    <w:p>
      <w:r>
        <w:rPr>
          <w:color w:val="555555"/>
          <w:sz w:val="17"/>
        </w:rPr>
        <w:t xml:space="preserve">Zitiervorschlag: § 6a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https://recht.nulegal.eu/gesetze/KomWG/6a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