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KomWG (Sachsen) — Erforderliche Stimmenzahl, zweiter Wahlgang</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Gewählt ist, wer mehr als die Hälfte der gültigen Stimmen erhalten hat. Entfällt auf keinen Bewerber mehr als die Hälfte der gültigen Stimmen, findet frühestens am zweiten und spätestens am vierten Sonntag nach der ersten Wahl ein zweiter Wahlgang statt.</w:t>
      </w:r>
    </w:p>
    <w:p>
      <w:r>
        <w:t xml:space="preserve">(2) Für den zweiten Wahlgang gelten die Vorschriften für die erste Wahl mit folgenden Maßgaben:</w:t>
      </w:r>
    </w:p>
    <w:p>
      <w:r>
        <w:t xml:space="preserve">1. Wahlvorschläge, die zu der ersten Wahl zugelassen waren, können bis zum fünften Tag nach der Wahl, 18.00 Uhr, zurückgenommen werden.</w:t>
      </w:r>
    </w:p>
    <w:p>
      <w:r>
        <w:t xml:space="preserve">2. Wahlvorschläge, die zu der ersten Wahl zugelassen waren, können nach Maßgabe des § 6d Absatz 2 bis zum fünften Tag nach der Wahl, 18.00 Uhr, geändert werden; über die Zulassung des geänderten Wahlvorschlags entscheidet der Wahlausschuss unverzüglich.</w:t>
      </w:r>
    </w:p>
    <w:p>
      <w:r>
        <w:t xml:space="preserve">3. Die am zweiten Wahlgang teilnehmenden Wahlvorschläge sind bis zum achten Tag vor der Wahl öffentlich bekannt zu machen.</w:t>
      </w:r>
    </w:p>
    <w:p>
      <w:r>
        <w:t xml:space="preserve">4. Im zweiten Wahlgang ist gewählt, wer die höchste Stimmenzahl auf sich vereint; bei Stimmengleichheit entscheidet das Los.</w:t>
      </w:r>
    </w:p>
    <w:p>
      <w:r>
        <w:t xml:space="preserve">5. Wird der zweite Wahlgang abgesagt oder nicht nur teilweise für ungültig erklärt, hat der Gemeinderat stets eine Neuwahl nach den Vorschriften für die erste Wahl anzuordnen.</w:t>
      </w:r>
    </w:p>
    <w:p>
      <w:r>
        <w:rPr>
          <w:color w:val="555555"/>
          <w:sz w:val="17"/>
        </w:rPr>
        <w:t xml:space="preserve">Zitiervorschlag: § 44a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https://recht.nulegal.eu/gesetze/KomWG/44a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