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KomWG (Sachsen) — Wahltag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regelmäßigen Ortschaftsratswahlen finden gemeinsam mit den regelmäßigen Gemeinderatswahlen statt.</w:t>
      </w:r>
    </w:p>
    <w:p>
      <w:r>
        <w:t xml:space="preserve">(2) Wird die Ortschaftsverfassung während der Wahlperiode des Gemeinderats eingeführt (§ 66 Absatz 1 Satz 2 der Sächsischen Gemeindeordnung ), bestimmt der Gemeinderat den Wahltag.</w:t>
      </w:r>
    </w:p>
    <w:p>
      <w:r>
        <w:rPr>
          <w:color w:val="555555"/>
          <w:sz w:val="17"/>
        </w:rPr>
        <w:t xml:space="preserve">Zitiervorschlag: § 34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