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KomWG (Sachsen) — Neuwahl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Gemeinderat hat unverzüglich eine Neuwahl im Wahlgebiet oder Wahlkreis anzuordnen, wenn</w:t>
      </w:r>
    </w:p>
    <w:p>
      <w:r>
        <w:t xml:space="preserve">1. die Wahl wegen Unrichtigkeit der Wählerverzeichnisse oder Mängel der Wahlvorschläge für ungültig erklärt wird oder</w:t>
      </w:r>
    </w:p>
    <w:p>
      <w:r>
        <w:t xml:space="preserve">2. eine Wiederholungswahl wegen Fristablaufs (§ 29 Absatz 1 Satz 3, Absatz 2 Satz 3) nicht mehr zulässig ist.</w:t>
      </w:r>
    </w:p>
    <w:p>
      <w:r>
        <w:rPr>
          <w:color w:val="555555"/>
          <w:sz w:val="17"/>
        </w:rPr>
        <w:t xml:space="preserve">Zitiervorschlag: § 28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