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KomWG (Sachsen) — Wahlanfechtung</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Jeder Wahlberechtigte, jeder Bewerber und jede Person, auf die bei der Wahl Stimmen entfallen sind, kann innerhalb zwei Wochen nach der öffentlichen Bekanntmachung des Wahlergebnisses gegen die Wahl unter Angabe des Grundes Einspruch bei der Rechtsaufsichtsbehörde erheben. Nach Ablauf der in Satz 1 genannten Frist können weitere Einspruchsgründe nicht mehr geltend gemacht werden.</w:t>
      </w:r>
    </w:p>
    <w:p>
      <w:r>
        <w:t xml:space="preserve">(2) Soweit der Einspruch erfolgreich ist, hat die Gemeinde dem Einsprechenden die notwendigen Aufwendungen zu erstatten. Dies gilt auch, wenn der Einspruch nur deshalb nicht erfolgreich ist, weil der geltend gemachte Mangel keinen Einfluss auf das Wahlergebnis hatte. Über den Umfang der Erstattung entscheidet die Rechtsaufsichtsbehörde.</w:t>
      </w:r>
    </w:p>
    <w:p>
      <w:r>
        <w:t xml:space="preserve">(3) Gegen die Entscheidung über den Einspruch können der Einsprechende und der durch die Entscheidung Betroffene unmittelbar Anfechtungs- oder Verpflichtungsklage erheben.</w:t>
      </w:r>
    </w:p>
    <w:p>
      <w:r>
        <w:rPr>
          <w:color w:val="555555"/>
          <w:sz w:val="17"/>
        </w:rPr>
        <w:t xml:space="preserve">Zitiervorschlag: § 25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