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KomWG (Sachsen) — Öffentlichkeit, unzulässige Wahlpropaganda und Unterschriftensammlung, unzulässige Veröffentlichung von Wählerbefragungen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Wahlhandlung ist öffentlich.</w:t>
      </w:r>
    </w:p>
    <w:p>
      <w:r>
        <w:t xml:space="preserve">(2) Während der Wahlzeit sind in und an dem Gebäude, in dem sich der Wahlraum befindet, sowie unmittelbar vor dem Zugang zu dem Gebäude jede Beeinflussung der Wähler durch Wort, Ton, Schrift oder Bild sowie jede Unterschriftensammlung verboten.</w:t>
      </w:r>
    </w:p>
    <w:p>
      <w:r>
        <w:t xml:space="preserve">(3) Die Veröffentlichung von Ergebnissen von Wählerbefragungen nach der Stimmabgabe über den Inhalt der Wahlentscheidung ist vor Ablauf der Wahlzeit unzulässig.</w:t>
      </w:r>
    </w:p>
    <w:p>
      <w:r>
        <w:rPr>
          <w:color w:val="555555"/>
          <w:sz w:val="17"/>
        </w:rPr>
        <w:t xml:space="preserve">Zitiervorschlag: § 17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