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KomIntAVO (Sachsen) — Weiterleitung der Zuweisung</w:t>
      </w:r>
    </w:p>
    <w:p>
      <w:r>
        <w:rPr>
          <w:color w:val="555555"/>
          <w:sz w:val="18"/>
        </w:rPr>
        <w:t xml:space="preserve">Kommunalintegrationsarbeitsverordnung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Zuweisungsempfänger darf als Erstempfänger der Zuweisung diese unter Beachtung von § 5 Absatz 3 ganz oder teilweise in öffentlich-rechtlicher Form an Dritte weiterleiten.</w:t>
      </w:r>
    </w:p>
    <w:p>
      <w:r>
        <w:t xml:space="preserve">(2) Er hat sicherzustellen, dass die jeweils maßgebenden Bestimmungen des Zuweisungsbescheids auch den Dritten auferlegt werden.</w:t>
      </w:r>
    </w:p>
    <w:p>
      <w:r>
        <w:rPr>
          <w:color w:val="555555"/>
          <w:sz w:val="17"/>
        </w:rPr>
        <w:t xml:space="preserve">Zitiervorschlag: § 6 KomIntAVO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https://recht.nulegal.eu/gesetze/KomIntAVO/6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