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KomIntAVO (Sachsen) — Auszahlung und Verwendung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Bewilligungsstelle zahlt die Zuweisung in zwei Raten aus, und zwar spätestens zum 1. März und zum 1. Juli des jeweiligen Haushaltsjahres. Im Fall des § 4 Absatz 5 kann die Bewilligungsstelle eine dritte Auszahlung im laufenden Haushaltsjahr vornehmen.</w:t>
      </w:r>
    </w:p>
    <w:p>
      <w:r>
        <w:t xml:space="preserve">(2) Die Auszahlung kann zurückbehalten werden, solange der Zuweisungsempfänger einen Verwendungsnachweis für vorangegangene Zuweisungen nicht fristgerecht erbracht hat.</w:t>
      </w:r>
    </w:p>
    <w:p>
      <w:r>
        <w:t xml:space="preserve">(3) Die Zuweisung ist nach den §§ 11 bis 15, 19 und 26 des Sächsischen Integrations- und Teilhabegesetzes sowie den §§ 9 bis 14 dieser Verordnung zu verwenden (zweckentsprechende Verwendung).</w:t>
      </w:r>
    </w:p>
    <w:p>
      <w:r>
        <w:rPr>
          <w:color w:val="555555"/>
          <w:sz w:val="17"/>
        </w:rPr>
        <w:t xml:space="preserve">Zitiervorschlag: § 5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