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KomIntAVO (Sachsen) — Begriffsbestimmungen</w:t>
      </w:r>
    </w:p>
    <w:p>
      <w:r>
        <w:rPr>
          <w:color w:val="555555"/>
          <w:sz w:val="18"/>
        </w:rPr>
        <w:t xml:space="preserve">Kommunalintegrationsarbeitsverordnung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Verteilungsmasse sind die im Haushaltsplan des Freistaates Sachsen für die Förderung der jeweiligen Fördergegenstände nach § 1 Absatz 1 im jeweiligen Haushaltsjahr verfügbaren Mittel.</w:t>
      </w:r>
    </w:p>
    <w:p>
      <w:r>
        <w:t xml:space="preserve">(2) Als Einwohnerzahl im Sinne dieser Verordnung gilt die zum 31. Dezember des Vorjahres in der Bevölkerungsstatistik des Statistischen Landesamts ausgewiesene Gesamtzahl der Bevölkerung.</w:t>
      </w:r>
    </w:p>
    <w:p>
      <w:r>
        <w:rPr>
          <w:color w:val="555555"/>
          <w:sz w:val="17"/>
        </w:rPr>
        <w:t xml:space="preserve">Zitiervorschlag: § 2 KomIntAVO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https://recht.nulegal.eu/gesetze/KomIntAVO/2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