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 KomHVO NRW (Nordrhein-Westfalen) — Ergebnisrechnung</w:t>
      </w:r>
    </w:p>
    <w:p>
      <w:r>
        <w:rPr>
          <w:color w:val="555555"/>
          <w:sz w:val="18"/>
        </w:rPr>
        <w:t xml:space="preserve">Kommunalhaushaltsverordnung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Ergebnisrechnung sind die dem Haushaltsjahr zuzurechnenden Erträge und Aufwendungen getrennt von einander nachzuweisen. Dabei dürfen Aufwendungen nicht mit Erträgen verrechnet werden, soweit durch Gesetz oder Verordnung nichts anderes zugelassen ist. Für die Aufstellung der Ergebnisrechnung gilt § 2 entsprechend.</w:t>
      </w:r>
    </w:p>
    <w:p>
      <w:r>
        <w:t xml:space="preserve">(2) Den in der Ergebnisrechnung nachzuweisenden Ist-Ergebnissen sind die Ergebnisse der Rechnung des Vorjahres und die fortgeschriebenen Planansätze des Haushaltsjahres voranzustellen sowie ein Plan-/Ist-Vergleich anzufügen, der die nach § 22 Absatz 1 übertragenen Ermächtigungen gesondert auszuweisen hat.</w:t>
      </w:r>
    </w:p>
    <w:p>
      <w:r>
        <w:t xml:space="preserve">(3) Erträge und Aufwendungen, die unmittelbar mit der allgemeinen Rücklage verrechnet werden, sind nachrichtlich nach dem Jahresergebnis auszuweisen.</w:t>
      </w:r>
    </w:p>
    <w:p>
      <w:r>
        <w:rPr>
          <w:color w:val="555555"/>
          <w:sz w:val="17"/>
        </w:rPr>
        <w:t xml:space="preserve">Zitiervorschlag: § 39 KomHVO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https://recht.nulegal.eu/gesetze/KomHVO%20NRW/39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 KomHVO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