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KomHVO NRW (Nordrhein-Westfalen) — Bildung von Budgets</w:t>
      </w:r>
    </w:p>
    <w:p>
      <w:r>
        <w:rPr>
          <w:color w:val="555555"/>
          <w:sz w:val="18"/>
        </w:rPr>
        <w:t xml:space="preserve">Kommunalhaushaltsverordnung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flexiblen Haushaltsbewirtschaftung können Erträge und Aufwendungen zu Budgets verbunden werden. In den Budgets ist die Summe der Erträge und die Summe der Aufwendungen für die Haushaltsführung verbindlich. Die Sätze 1 und 2 gelten auch für Einzahlungen und Auszahlungen für Investitionen.</w:t>
      </w:r>
    </w:p>
    <w:p>
      <w:r>
        <w:t xml:space="preserve">(2) Es kann bestimmt werden, dass Mehrerträge bestimmte Ermächtigungen für Aufwendungen erhöhen und Mindererträge bestimmte Ermächtigungen für Aufwendungen vermindern. Das Gleiche gilt für Mehreinzahlungen und Mindereinzahlungen für Investitionen. Die Mehraufwendungen oder Mehrauszahlungen gelten nicht als überplanmäßige Aufwendungen oder Auszahlungen.</w:t>
      </w:r>
    </w:p>
    <w:p>
      <w:r>
        <w:t xml:space="preserve">(3) Die Bewirtschaftung der Budgets darf nicht zu einer Minderung des Saldos aus laufender Verwaltungstätigkeit nach § 3 Absatz 2 Nummer 1 führen. Die Inanspruchnahme von Budgets nach Absatz 2 ist nur zulässig, wenn das geplante Jahresergebnis nicht gefährdet ist und die Vorschriften des § 86 der Gemeindeordnung beachtet werden.</w:t>
      </w:r>
    </w:p>
    <w:p>
      <w:r>
        <w:rPr>
          <w:color w:val="555555"/>
          <w:sz w:val="17"/>
        </w:rPr>
        <w:t xml:space="preserve">Zitiervorschlag: § 21 KomHVO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https://recht.nulegal.eu/gesetze/KomHVO%20NRW/21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