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KomHKV (Brandenburg) — Vorbericht</w:t>
      </w:r>
    </w:p>
    <w:p>
      <w:r>
        <w:rPr>
          <w:color w:val="555555"/>
          <w:sz w:val="18"/>
        </w:rPr>
        <w:t xml:space="preserve">Kommunale Haushalts- und Kassenverordnung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Der Vorbericht hat einen Überblick über den Stand und die Entwicklung der kommunalen Vermögens-, Ertrags- und Finanzlage zu geben.</w:t>
      </w:r>
    </w:p>
    <w:p>
      <w:r>
        <w:t xml:space="preserve">(2) Für das Haushaltsjahr, für das die Haushaltssatzung erlassen wird und die drei nachfolgenden Haushaltsjahre ist darzustellen, wie sich die wichtigsten Erträge und Aufwendungen und die Einzahlungen und Auszahlungen aus Investitions- und Finanzierungstätigkeit voraussichtlich entwickeln werden.</w:t>
      </w:r>
    </w:p>
    <w:p>
      <w:r>
        <w:t xml:space="preserve">(3) Darüber hinaus ist darzustellen:</w:t>
      </w:r>
    </w:p>
    <w:p>
      <w:r>
        <w:t xml:space="preserve">wie sich das Vermögen und die Schulden einschließlich des Bestandes an Finanzmitteln und der Inanspruchnahme von Kassenkrediten in den dem Planjahr vorangegangenen zwei Haushaltsjahren entwickelt haben,</w:t>
      </w:r>
    </w:p>
    <w:p>
      <w:r>
        <w:t xml:space="preserve">in welchem Umfang Kreditermächtigungen gemäß § 76 Absatz 2 Satz 1 der Brandenburgischen Kommunalverfassung in den dem Planjahr vorangegangenen zwei Haushaltsjahren in Anspruch genommen worden sind,</w:t>
      </w:r>
    </w:p>
    <w:p>
      <w:r>
        <w:t xml:space="preserve">wie hoch die Belastung des Haushalts durch kreditähnliche Rechtsgeschäfte ist, soweit es sich nicht um Geschäfte der laufenden Verwaltung handelt,</w:t>
      </w:r>
    </w:p>
    <w:p>
      <w:r>
        <w:t xml:space="preserve">die Höhe von Bürgschaften, sonstigen Haftungsverpflichtungen und Sachverhalten, aus denen sich künftige finanzielle Verpflichtungen ergeben können, soweit es sich nicht um Geschäfte der laufenden Verwaltung handelt,</w:t>
      </w:r>
    </w:p>
    <w:p>
      <w:r>
        <w:t xml:space="preserve">in welchem Umfang der Finanzmittelbestand durch übertragene Ermächtigungen aus den Vorjahren gebunden ist und in welcher Höhe er für die Finanzierung von Investitionen und Investitionsförderungsmaßnahmen zur Verfügung steht,</w:t>
      </w:r>
    </w:p>
    <w:p>
      <w:r>
        <w:t xml:space="preserve">der Gesamtbetrag der nicht in der Bilanz ausgewiesenen Pensions- und Beihilfeverpflichtungen und</w:t>
      </w:r>
    </w:p>
    <w:p>
      <w:r>
        <w:t xml:space="preserve">der Zeitraum und die Höhe der Auflösung der Rückstellungen gemäß § 63.</w:t>
      </w:r>
    </w:p>
    <w:p>
      <w:r>
        <w:rPr>
          <w:color w:val="555555"/>
          <w:sz w:val="17"/>
        </w:rPr>
        <w:t xml:space="preserve">Zitiervorschlag: § 9 KomHKV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https://recht.nulegal.eu/gesetze/KomHKV/9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