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KomHKV (Brandenburg) — Teilergebnishaushalte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Teilergebnishaushalte sind entsprechend § 4 Absatz 1 aufzustellen, soweit die Erträge und die Aufwendungen ihnen zuzuordnen sind. Erträge und Aufwendungen aus internen Leistungsbeziehungen sind nach Maßgabe des § 17 Absatz 2 anzugeben.</w:t>
      </w:r>
    </w:p>
    <w:p>
      <w:r>
        <w:t xml:space="preserve">(2) Für jeden Teilergebnishaushalt ist ein Teilabschluss aus den Erträgen und Aufwendungen vor und nach interner Leistungsverrechnung zu bilden.</w:t>
      </w:r>
    </w:p>
    <w:p>
      <w:r>
        <w:rPr>
          <w:color w:val="555555"/>
          <w:sz w:val="17"/>
        </w:rPr>
        <w:t xml:space="preserve">Zitiervorschlag: § 7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