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6 KomHKV (Brandenburg) — Teilhaushalte</w:t>
      </w:r>
    </w:p>
    <w:p>
      <w:r>
        <w:rPr>
          <w:color w:val="555555"/>
          <w:sz w:val="18"/>
        </w:rPr>
        <w:t xml:space="preserve">Kommunale Haushalts- und Kassenverordnung</w:t>
      </w:r>
    </w:p>
    <w:p>
      <w:r>
        <w:rPr>
          <w:color w:val="555555"/>
          <w:sz w:val="18"/>
        </w:rPr>
        <w:t xml:space="preserve">Landesrecht Brandenburg</w:t>
      </w:r>
    </w:p>
    <w:p>
      <w:r>
        <w:rPr>
          <w:color w:val="555555"/>
          <w:sz w:val="18"/>
        </w:rPr>
        <w:t xml:space="preserve">Stand: 02.08.2026 (konsolidierte Textfassung, kein amtliches Inkrafttretensdatum)</w:t>
      </w:r>
    </w:p>
    <w:p>
      <w:r>
        <w:t xml:space="preserve">(1) Der Haushalt ist nach dem geltenden Produkt- und Kontenrahmen zu gliedern. Für jeden Produktbereich sind ein Teilergebnishaushalt und ein Teilfinanzhaushalt aufzustellen, sofern Haushaltsansätze oder Jahresabschlussergebnisse im Zeitraum gemäß § 11 Absatz 1 abzubilden sind.</w:t>
      </w:r>
    </w:p>
    <w:p>
      <w:r>
        <w:t xml:space="preserve">(2) Unterhalb der Produktbereichsebene können Teilhaushalte nach den vorgegebenen Produktgruppen oder nach Produkten gebildet werden. In diesem Fall sind den Teilhaushalten ein für jeden vorgegebenen Produktbereich entsprechend § 7 aufgestelltes Summenblatt der Erträge und Aufwendungen sowie ein entsprechend § 8 aufgestelltes Summenblatt der Einzahlungen und Auszahlungen voranzustellen.</w:t>
      </w:r>
    </w:p>
    <w:p>
      <w:r>
        <w:t xml:space="preserve">(3) Teilhaushalte bilden ein Budget. Für funktional begrenzte Aufgabenbereiche können mehrere Teilhaushalte durch Vermerk zu einem Budget verbunden werden. Die Budgets sind jeweils einem bestimmten Verantwortungs-bereich zuzuordnen.</w:t>
      </w:r>
    </w:p>
    <w:p>
      <w:r>
        <w:t xml:space="preserve">(4) In jedem Teilhaushalt sind die Produktgruppen, die wesentlichen Produkte und ihre Auftragsgrundlage zu beschreiben. Für die wesentlichen Produkte sind die zu erreichenden Produktziele vorzugeben; Kennzahlen zur Messung der Zielerreichung sind anzugeben. Die Ziele und Kennzahlen sollen zur Grundlage der Gestaltung der Planung, Steuerung und Erfolgskontrolle des jährlichen Haushalts gemacht werden.</w:t>
      </w:r>
    </w:p>
    <w:p>
      <w:r>
        <w:t xml:space="preserve">(5) Soweit in den Teilhaushalten wesentliche Ansätze von Erträgen und Aufwendungen sowie Einzahlungen und Auszahlungen erheblich von den Ansätzen des Vorjahres abweichen, ist der Grund hierfür zu erläutern.</w:t>
      </w:r>
    </w:p>
    <w:p>
      <w:r>
        <w:rPr>
          <w:color w:val="555555"/>
          <w:sz w:val="17"/>
        </w:rPr>
        <w:t xml:space="preserve">Zitiervorschlag: § 6 KomHKV (Brandenburg)</w:t>
      </w:r>
    </w:p>
    <w:p>
      <w:r>
        <w:rPr>
          <w:color w:val="555555"/>
          <w:sz w:val="17"/>
        </w:rPr>
        <w:t xml:space="preserve">Quelle: bravors, abgerufen 02.08.2026</w:t>
      </w:r>
    </w:p>
    <w:p>
      <w:r>
        <w:rPr>
          <w:color w:val="555555"/>
          <w:sz w:val="17"/>
        </w:rPr>
        <w:t xml:space="preserve">Nicht-amtliche Lesefassung — verbindlich ist das Gesetz- und Verordnungsblatt für das Land Brandenburg (landesrecht.brandenburg.de: https://www.landesrecht.brandenburg.de)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https://recht.nulegal.eu/gesetze/KomHKV/6</w:t>
      </w:r>
    </w:p>
    <w:p>
      <w:r>
        <w:rPr>
          <w:color w:val="767676"/>
          <w:sz w:val="15"/>
        </w:rPr>
        <w:t xml:space="preserve">nu:legal · recht.nulegal.eu · Nicht-amtliche Lesefassung. Amtliche Fassung: landesrecht.brandenburg.de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