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58 KomHKV (Brandenburg) — Verfahren bei Stundung, Niederschlagung, Erlass und Vollstreckung</w:t>
      </w:r>
    </w:p>
    <w:p>
      <w:r>
        <w:rPr>
          <w:color w:val="555555"/>
          <w:sz w:val="18"/>
        </w:rPr>
        <w:t xml:space="preserve">Kommunale Haushalts- und Kassenverordnung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Gemeindekasse hat die unverzügliche Vollstreckung der Forderungen zu veranlassen, die nicht rechtzeitig oder nicht vollständig beglichen worden sind. Von Vollstreckungsmaßnahmen kann sie zunächst absehen, wenn zu erkennen ist, dass</w:t>
      </w:r>
    </w:p>
    <w:p>
      <w:r>
        <w:t xml:space="preserve">die Vollziehung des der Zahlungsanweisung zugrundeliegenden Bescheids ausgesetzt wird oder</w:t>
      </w:r>
    </w:p>
    <w:p>
      <w:r>
        <w:t xml:space="preserve">eine Stundung, Niederschlagung oder ein Erlass der Forderung in Betracht kommt.</w:t>
      </w:r>
    </w:p>
    <w:p>
      <w:r>
        <w:t xml:space="preserve">Sie hat in diesen Fällen unverzüglich die Entscheidung der zuständigen Dienststelle herbeizuführen.</w:t>
      </w:r>
    </w:p>
    <w:p>
      <w:r>
        <w:t xml:space="preserve">(2) Die Gemeindekasse darf unbeschadet des § 55 Absatz 2 Stundung und Erlass der Forderung nicht gewähren und über Niederschlagungen nicht entscheiden. Die zuständige Dienststelle hat Stundungen, Niederschlagungen und Erlasse der Forderungen der Gemeindekasse unverzüglich schriftlich oder elektronisch mitzuteilen.</w:t>
      </w:r>
    </w:p>
    <w:p>
      <w:r>
        <w:rPr>
          <w:color w:val="555555"/>
          <w:sz w:val="17"/>
        </w:rPr>
        <w:t xml:space="preserve">Zitiervorschlag: § 58 KomHKV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https://recht.nulegal.eu/gesetze/KomHKV/58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