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53 KomHKV (Brandenburg) — Gesamtfinanzrechnung</w:t>
      </w:r>
    </w:p>
    <w:p>
      <w:r>
        <w:rPr>
          <w:color w:val="555555"/>
          <w:sz w:val="18"/>
        </w:rPr>
        <w:t xml:space="preserve">Kommunale Haushalts- und Kassenverordnung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Auf die Gesamtfinanzrechnung findet der Deutsche Rechnungslegungsstandard Nr. 21 (DRS 21) – Kapitalflussrechnung – vom 2. April 2014 (BAnz AT 08.04.2014 B2) in der vom Bundesministerium der Justiz und für Verbraucherschutz bekannt gemachten Form entsprechende Anwendung.</w:t>
      </w:r>
    </w:p>
    <w:p>
      <w:r>
        <w:rPr>
          <w:color w:val="555555"/>
          <w:sz w:val="17"/>
        </w:rPr>
        <w:t xml:space="preserve">Zitiervorschlag: § 53 KomHKV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https://recht.nulegal.eu/gesetze/KomHKV/53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