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KomHKV (Brandenburg) — Anlagenübersicht, Forderungsübersicht, Verbindlichkeitenübersicht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Anlagenübersicht ist die Entwicklung der Anschaffungs- und Herstellungskosten des Anlagevermögens, der Abschreibungen und der Buchwerte darzustellen.</w:t>
      </w:r>
    </w:p>
    <w:p>
      <w:r>
        <w:t xml:space="preserve">(2) In der Forderungsübersicht sind die Forderungen der Gemeinde, unterteilt in Laufzeiten bis zu einem Jahr, von einem bis zu fünf Jahren und von mehr als fünf Jahren nachzuweisen.</w:t>
      </w:r>
    </w:p>
    <w:p>
      <w:r>
        <w:t xml:space="preserve">(3) In der Verbindlichkeitenübersicht sind die Verbindlichkeiten der Gemeinde und die Restlaufzeiten, unterteilt in Laufzeiten bis zu einem Jahr, von einem bis zu fünf Jahren und von mehr als fünf Jahren nachzuweisen.</w:t>
      </w:r>
    </w:p>
    <w:p>
      <w:r>
        <w:rPr>
          <w:color w:val="555555"/>
          <w:sz w:val="17"/>
        </w:rPr>
        <w:t xml:space="preserve">Zitiervorschlag: § 49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