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48 KomHKV (Brandenburg) — Lagebericht</w:t>
      </w:r>
    </w:p>
    <w:p>
      <w:r>
        <w:rPr>
          <w:color w:val="555555"/>
          <w:sz w:val="18"/>
        </w:rPr>
        <w:t xml:space="preserve">Kommunale Haushalts- und Kassenverordnung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Im Lagebericht sind der Verlauf der Haushaltswirtschaft und die Lage der Gemeinde so darzustellen, dass ein den tatsächlichen Verhältnissen der Vermögens-, Ertrags- und Finanzlage entsprechendes Bild vermittelt wird. Dabei sind die wichtigen Ergebnisse des Jahresabschlusses und erhebliche Abweichungen der Jahresergebnisse von den fortgeschriebenen Haushaltsansätzen zu erläutern und eine Bewertung der Abschlussrechnungen vorzunehmen.</w:t>
      </w:r>
    </w:p>
    <w:p>
      <w:r>
        <w:t xml:space="preserve">(2) Der Lagebericht soll Vorgänge von besonderer Bedeutung, die nach dem Schluss des Haushaltsjahres eingetreten sind, und zu erwartende mögliche Risiken von besonderer Bedeutung darstellen.</w:t>
      </w:r>
    </w:p>
    <w:p>
      <w:r>
        <w:rPr>
          <w:color w:val="555555"/>
          <w:sz w:val="17"/>
        </w:rPr>
        <w:t xml:space="preserve">Zitiervorschlag: § 48 KomHKV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https://recht.nulegal.eu/gesetze/KomHKV/48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