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KomHKV (Brandenburg) — Teilrechnungen</w:t>
      </w:r>
    </w:p>
    <w:p>
      <w:r>
        <w:rPr>
          <w:color w:val="555555"/>
          <w:sz w:val="18"/>
        </w:rPr>
        <w:t xml:space="preserve">Kommunale Haushalts- und 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jeden der aufgestellten Teilhaushaltspläne sind Teilrechnungen, gegliedert in Teilergebnisrechnung und Teilfinanzrechnung, aufzustellen. § 43 Absatz 2 gilt entsprechend.</w:t>
      </w:r>
    </w:p>
    <w:p>
      <w:r>
        <w:t xml:space="preserve">(2) Die Teilrechnungen sind jeweils um Ist-Zahlen zu den in den Teilhaushaltsplänen ausgewiesenen Produktzielen und Kennzahlen zu ergänzen.</w:t>
      </w:r>
    </w:p>
    <w:p>
      <w:r>
        <w:rPr>
          <w:color w:val="555555"/>
          <w:sz w:val="17"/>
        </w:rPr>
        <w:t xml:space="preserve">Zitiervorschlag: § 45 KomHKV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https://recht.nulegal.eu/gesetze/KomHKV/45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