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KomHKV (Brandenburg) — Finanzrechnung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Finanzrechnung sind die im Haushaltsjahr eingegangenen Einzahlungen und geleisteten Auszahlungen getrennt voneinander auszuweisen. Einzahlungen und Auszahlungen dürfen nicht miteinander verrechnet werden, soweit in dieser Verordnung nichts anderes bestimmt ist.</w:t>
      </w:r>
    </w:p>
    <w:p>
      <w:r>
        <w:t xml:space="preserve">(2) Für die Gliederung gilt § 5 entsprechend. Zusätzlich sind die Zahlungen aus der Aufnahme und der Tilgung von Kassenkrediten sowie der Bestand an Kassenkrediten gesondert auszuweisen. § 43 Absatz 2 gilt entsprechend.</w:t>
      </w:r>
    </w:p>
    <w:p>
      <w:r>
        <w:rPr>
          <w:color w:val="555555"/>
          <w:sz w:val="17"/>
        </w:rPr>
        <w:t xml:space="preserve">Zitiervorschlag: § 44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KomHKV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