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KomHKV (Brandenburg) — Ergebnisrechnung</w:t>
      </w:r>
    </w:p>
    <w:p>
      <w:r>
        <w:rPr>
          <w:color w:val="555555"/>
          <w:sz w:val="18"/>
        </w:rPr>
        <w:t xml:space="preserve">Kommunale Haushalts- und Kassenverordnung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In der Ergebnisrechnung sind die dem Haushaltsjahr zuzurechnenden Erträge und Aufwendungen gegenüber-zustellen. Erträge und Aufwendungen dürfen nicht miteinander verrechnet werden, soweit in dieser Verordnung nichts anderes bestimmt ist. Für die Gliederung gilt § 4 entsprechend.</w:t>
      </w:r>
    </w:p>
    <w:p>
      <w:r>
        <w:t xml:space="preserve">(2) Zur Ermittlung des Jahresergebnisses sind die Gesamterträge und Gesamtaufwendungen gegenüberzustellen. Den in der Ergebnisrechnung nachzuweisenden Ergebnissen sind die Ergebnisse der Rechnung des Vorjahres, die Planansätze und die fortgeschriebenen Planansätze des Haushaltsjahres voranzustellen. Ein Vergleich der fortgeschriebenen Planansätze mit den Ergebnissen ist anzufügen.</w:t>
      </w:r>
    </w:p>
    <w:p>
      <w:r>
        <w:rPr>
          <w:color w:val="555555"/>
          <w:sz w:val="17"/>
        </w:rPr>
        <w:t xml:space="preserve">Zitiervorschlag: § 43 KomHKV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https://recht.nulegal.eu/gesetze/KomHKV/43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