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KomHKV (Brandenburg) — Rechnungsabgrenzungsposten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Rechnungsabgrenzungsposten sind auf der Aktivseite vor dem Abschlussstichtag geleistete Auszahlungen auszuweisen, soweit sie Aufwand für eine bestimmte Zeit nach diesem Tag darstellen. Auf die Ausweisung kann für regelmäßig wiederkehrende Geschäftsvorfälle, die einen geringfügigen Umfang haben, verzichtet werden. § 35 Absatz 4 bleibt unberührt.</w:t>
      </w:r>
    </w:p>
    <w:p>
      <w:r>
        <w:t xml:space="preserve">(2) Auf der Passivseite sind als Rechnungsabgrenzungsposten vor dem Abschlussstichtag erhaltene Einzahlungen auszuweisen, soweit sie Ertrag für eine bestimmte Zeit nach diesem Tag darstellen. Absatz 1 Satz 2 gilt entsprechend.</w:t>
      </w:r>
    </w:p>
    <w:p>
      <w:r>
        <w:t xml:space="preserve">(3) Ist der Erfüllungsbetrag einer Verbindlichkeit höher als der Auszahlungsbetrag, so ist der Unterschiedsbetrag auf der Aktivseite als Rechnungsabgrenzungsposten aufzunehmen. Der Unterschiedsbetrag ist durch planmäßige jährliche Abschreibungen zu tilgen, die auf die gesamte Laufzeit der Verbindlichkeit verteilt werden können.</w:t>
      </w:r>
    </w:p>
    <w:p>
      <w:r>
        <w:rPr>
          <w:color w:val="555555"/>
          <w:sz w:val="17"/>
        </w:rPr>
        <w:t xml:space="preserve">Zitiervorschlag: § 42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