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KomHKV (Brandenburg) — Ergebnishaushalt</w:t>
      </w:r>
    </w:p>
    <w:p>
      <w:r>
        <w:rPr>
          <w:color w:val="555555"/>
          <w:sz w:val="18"/>
        </w:rPr>
        <w:t xml:space="preserve">Kommunale Haushalts- und 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Ergebnishaushalt enthält mindestens die folgenden Positionen:</w:t>
      </w:r>
    </w:p>
    <w:p>
      <w:r>
        <w:t xml:space="preserve">Steuern und ähnliche Abgaben,</w:t>
      </w:r>
    </w:p>
    <w:p>
      <w:r>
        <w:t xml:space="preserve">Zuwendungen und allgemeine Umlagen,</w:t>
      </w:r>
    </w:p>
    <w:p>
      <w:r>
        <w:t xml:space="preserve">Sonstige Transfererträge,</w:t>
      </w:r>
    </w:p>
    <w:p>
      <w:r>
        <w:t xml:space="preserve">Öffentlich-rechtliche Leistungsentgelte,</w:t>
      </w:r>
    </w:p>
    <w:p>
      <w:r>
        <w:t xml:space="preserve">Privatrechtliche Leistungsentgelte,</w:t>
      </w:r>
    </w:p>
    <w:p>
      <w:r>
        <w:t xml:space="preserve">Kostenerstattungen und Kostenumlagen,</w:t>
      </w:r>
    </w:p>
    <w:p>
      <w:r>
        <w:t xml:space="preserve">Sonstige ordentliche Erträge,</w:t>
      </w:r>
    </w:p>
    <w:p>
      <w:r>
        <w:t xml:space="preserve">Aktivierte Eigenleistungen,</w:t>
      </w:r>
    </w:p>
    <w:p>
      <w:r>
        <w:t xml:space="preserve">Bestandsveränderungen,</w:t>
      </w:r>
    </w:p>
    <w:p>
      <w:r>
        <w:t xml:space="preserve">Summe der Erträge aus laufender Verwaltungstätigkeit (Nummer 1 bis 9),</w:t>
      </w:r>
    </w:p>
    <w:p>
      <w:r>
        <w:t xml:space="preserve">Personalaufwendungen,</w:t>
      </w:r>
    </w:p>
    <w:p>
      <w:r>
        <w:t xml:space="preserve">Versorgungsaufwendungen,</w:t>
      </w:r>
    </w:p>
    <w:p>
      <w:r>
        <w:t xml:space="preserve">Aufwendungen für Sach- und Dienstleistungen,</w:t>
      </w:r>
    </w:p>
    <w:p>
      <w:r>
        <w:t xml:space="preserve">Abschreibungen,</w:t>
      </w:r>
    </w:p>
    <w:p>
      <w:r>
        <w:t xml:space="preserve">Transferaufwendungen,</w:t>
      </w:r>
    </w:p>
    <w:p>
      <w:r>
        <w:t xml:space="preserve">Sonstige ordentliche Aufwendungen,</w:t>
      </w:r>
    </w:p>
    <w:p>
      <w:r>
        <w:t xml:space="preserve">Summe der Aufwendungen aus laufender Verwaltungstätigkeit (Nummer 11 bis 16),</w:t>
      </w:r>
    </w:p>
    <w:p>
      <w:r>
        <w:t xml:space="preserve">Ergebnis der laufenden Verwaltungstätigkeit (Saldo aus den Nummern 10 und 17),</w:t>
      </w:r>
    </w:p>
    <w:p>
      <w:r>
        <w:t xml:space="preserve">Zinsen und sonstige Finanzerträge,</w:t>
      </w:r>
    </w:p>
    <w:p>
      <w:r>
        <w:t xml:space="preserve">Zinsen und sonstige Finanzaufwendungen,</w:t>
      </w:r>
    </w:p>
    <w:p>
      <w:r>
        <w:t xml:space="preserve">Finanzergebnis (Saldo aus den Nummern 19 und 20),</w:t>
      </w:r>
    </w:p>
    <w:p>
      <w:r>
        <w:t xml:space="preserve">Ordentliches Jahresergebnis (Summe aus den Nummern 18 und 21),</w:t>
      </w:r>
    </w:p>
    <w:p>
      <w:r>
        <w:t xml:space="preserve">Außerordentliche Erträge,</w:t>
      </w:r>
    </w:p>
    <w:p>
      <w:r>
        <w:t xml:space="preserve">Außerordentliche Aufwendungen,</w:t>
      </w:r>
    </w:p>
    <w:p>
      <w:r>
        <w:t xml:space="preserve">Außerordentliches Jahresergebnis (Saldo aus den Nummern 23 und 24),</w:t>
      </w:r>
    </w:p>
    <w:p>
      <w:r>
        <w:t xml:space="preserve">Gesamtergebnis (Summe aus den Nummern 22 und 25).</w:t>
      </w:r>
    </w:p>
    <w:p>
      <w:r>
        <w:t xml:space="preserve">(2) Unter den Positionen „außerordentliche Erträge“ und „außerordentliche Aufwendungen“ sind Erträge und Aufwendungen auszuweisen, die auf unvorhersehbaren, seltenen und ungewöhnlichen Vorgängen von wesentlicher Bedeutung für die Gemeinde im Sinne des § 65 Absatz 2 Nummer 7 der Brandenburgischen Kommunalverfassung beruhen sowie Erträge und Aufwendungen aus der Veräußerung von Grundstücken, grundstücksgleichen Rechten, Bauten und Finanzanlagevermögen.</w:t>
      </w:r>
    </w:p>
    <w:p>
      <w:r>
        <w:rPr>
          <w:color w:val="555555"/>
          <w:sz w:val="17"/>
        </w:rPr>
        <w:t xml:space="preserve">Zitiervorschlag: § 4 KomHKV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https://recht.nulegal.eu/gesetze/KomHKV/4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