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KomHKV (Brandenburg) — Rückstellungen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Rückstellungen sind zu bilden für folgende ungewisse Verbindlichkeiten und Aufwendungen:</w:t>
      </w:r>
    </w:p>
    <w:p>
      <w:r>
        <w:t xml:space="preserve">die Pensionsverpflichtungen nach den beamtenrechtlichen Bestimmungen,</w:t>
      </w:r>
    </w:p>
    <w:p>
      <w:r>
        <w:t xml:space="preserve">die Beihilfeverpflichtungen gegenüber Versorgungsempfängerinnen und Versorgungsempfängern,</w:t>
      </w:r>
    </w:p>
    <w:p>
      <w:r>
        <w:t xml:space="preserve">die Rekultivierung und Nachsorge von Abfalldeponien,</w:t>
      </w:r>
    </w:p>
    <w:p>
      <w:r>
        <w:t xml:space="preserve">die Sanierung von Altlasten,</w:t>
      </w:r>
    </w:p>
    <w:p>
      <w:r>
        <w:t xml:space="preserve">im Haushaltsjahr unterlassene Aufwendungen für Instandhaltung, die im folgenden Haushaltsjahr nachgeholt werden,</w:t>
      </w:r>
    </w:p>
    <w:p>
      <w:r>
        <w:t xml:space="preserve">ungewisse Verbindlichkeiten im Rahmen des Finanzausgleichs und von Steuerschuldverhältnissen,</w:t>
      </w:r>
    </w:p>
    <w:p>
      <w:r>
        <w:t xml:space="preserve">drohende Verpflichtungen aus Bürgschaften, Gewährleistungen und anhängigen Gerichtsverfahren sowie</w:t>
      </w:r>
    </w:p>
    <w:p>
      <w:r>
        <w:t xml:space="preserve">sonstige Verpflichtungen, die vor dem Bilanzstichtag wirtschaftlich begründet wurden und die dem Grunde oder der Höhe nach noch nicht genau bekannt sind, sofern der zu leistende Betrag nicht geringfügig ist.</w:t>
      </w:r>
    </w:p>
    <w:p>
      <w:r>
        <w:t xml:space="preserve">Mitglieder des Kommunalen Versorgungsverbandes Brandenburg dürfen keine Rückstellungen nach Satz 1 Nummer 1 und 2 bilden.</w:t>
      </w:r>
    </w:p>
    <w:p>
      <w:r>
        <w:t xml:space="preserve">(2) Rückstellungen für ungewisse Aufwendungen und Verbindlichkeiten für Lohn- und Gehaltszahlungen für Zeiten der Freistellung von der Arbeit im Rahmen von Altersteilzeitarbeit und ähnlichen Maßnahmen können gebildet werden.</w:t>
      </w:r>
    </w:p>
    <w:p>
      <w:r>
        <w:t xml:space="preserve">(3) Für andere Zwecke dürfen Rückstellungen nicht gebildet werden.</w:t>
      </w:r>
    </w:p>
    <w:p>
      <w:r>
        <w:t xml:space="preserve">(4) Rückstellungen für beamtenrechtliche Pensionsverpflichtungen sind zum Barwert der erworbenen Versorgungsansprüche nach dem Teilwertverfahren anzusetzen. Dabei ist ein Rechnungszinsfuß in der durch § 6a Absatz 3 Satz 3 des Einkommensteuergesetzes bestimmten Höhe zugrunde zu legen.</w:t>
      </w:r>
    </w:p>
    <w:p>
      <w:r>
        <w:t xml:space="preserve">(5) Rückstellungen sind nach vernünftiger Beurteilung in angemessener Höhe zu bilden, wenn mit einer Inanspruchnahme zu rechnen ist. Sie sind aufzulösen, wenn und soweit der Grund für die Bildung entfallen ist.</w:t>
      </w:r>
    </w:p>
    <w:p>
      <w:r>
        <w:rPr>
          <w:color w:val="555555"/>
          <w:sz w:val="17"/>
        </w:rPr>
        <w:t xml:space="preserve">Zitiervorschlag: § 36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https://recht.nulegal.eu/gesetze/KomHKV/36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