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KomHKV (Brandenburg) — Unterjährige Berichtspflichten</w:t>
      </w:r>
    </w:p>
    <w:p>
      <w:r>
        <w:rPr>
          <w:color w:val="555555"/>
          <w:sz w:val="18"/>
        </w:rPr>
        <w:t xml:space="preserve">Kommunale Haushalts- und Kassenverordnung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Gemeindevertretung ist mindestens halbjährlich über den Stand des Haushaltsvollzugs einschließlich der Erreichung der Produktziele zu unterrichten. Die Gründe für wesentliche Abweichungen sind zu erläutern.</w:t>
      </w:r>
    </w:p>
    <w:p>
      <w:r>
        <w:t xml:space="preserve">(2) Die Gemeindevertretung ist unverzüglich zu unterrichten, wenn sich abzeichnet, dass</w:t>
      </w:r>
    </w:p>
    <w:p>
      <w:r>
        <w:t xml:space="preserve">sich das Planergebnis des Ergebnishaushalts oder des Finanzhaushalts wesentlich verschlechtert,</w:t>
      </w:r>
    </w:p>
    <w:p>
      <w:r>
        <w:t xml:space="preserve">sich die Gesamtfinanzierung einer gemäß § 8 Absatz 2 einzeln zu veranschlagenden Investition oder Investitionsförderungsmaßnahme des Finanzhaushalts wesentlich verschlechtert oder</w:t>
      </w:r>
    </w:p>
    <w:p>
      <w:r>
        <w:t xml:space="preserve">sich die Geschäftslage von verbundenen Unternehmen, Eigenbetrieben oder Zweckverbänden, in denen die Gemeinde Mitglied ist, verschlechtert und daraus erhebliche wirtschaftliche Risiken für die Gemeinde entstehen können.</w:t>
      </w:r>
    </w:p>
    <w:p>
      <w:r>
        <w:rPr>
          <w:color w:val="555555"/>
          <w:sz w:val="17"/>
        </w:rPr>
        <w:t xml:space="preserve">Zitiervorschlag: § 27 KomHKV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https://recht.nulegal.eu/gesetze/KomHKV/27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