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KomHKV (Brandenburg) — Dauernde Leistungsfähigkeit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Gemeinde hat ihre dauernde Leistungsfähigkeit sicherzustellen.</w:t>
      </w:r>
    </w:p>
    <w:p>
      <w:r>
        <w:t xml:space="preserve">(2) Die dauernde Leistungsfähigkeit ergibt sich aus dem der Haushaltswirtschaft zu Grunde liegenden fünfjährigen Ergebnis- und Finanzplan gemäß § 11 Absatz 1. Die dauernde Leistungsfähigkeit liegt grundsätzlich vor, wenn</w:t>
      </w:r>
    </w:p>
    <w:p>
      <w:r>
        <w:t xml:space="preserve">der mittelfristige Ergebnisplan ausgeglichen ist,</w:t>
      </w:r>
    </w:p>
    <w:p>
      <w:r>
        <w:t xml:space="preserve">der Saldo aus den Einzahlungen und Auszahlungen aus laufender Verwaltungstätigkeit die Auszahlungen für die Tilgung der Kredite deckt,</w:t>
      </w:r>
    </w:p>
    <w:p>
      <w:r>
        <w:t xml:space="preserve">die Zahlungsfähigkeit sichergestellt ist sowie</w:t>
      </w:r>
    </w:p>
    <w:p>
      <w:r>
        <w:t xml:space="preserve">die Summe aus Eigenkapital und Sonderposten die Summe aus Rückstellungen, Verbindlichkeiten und passiven Rechnungsabgrenzungsposten übersteigt.</w:t>
      </w:r>
    </w:p>
    <w:p>
      <w:r>
        <w:t xml:space="preserve">Sonstige wesentliche finanzielle Risiken, soweit diese nicht bereits veranschlagt sind, sind zu berücksichtigen.</w:t>
      </w:r>
    </w:p>
    <w:p>
      <w:r>
        <w:rPr>
          <w:color w:val="555555"/>
          <w:sz w:val="17"/>
        </w:rPr>
        <w:t xml:space="preserve">Zitiervorschlag: § 24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https://recht.nulegal.eu/gesetze/KomHKV/24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