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KomHKV (Brandenburg) — Budgets</w:t>
      </w:r>
    </w:p>
    <w:p>
      <w:r>
        <w:rPr>
          <w:color w:val="555555"/>
          <w:sz w:val="18"/>
        </w:rPr>
        <w:t xml:space="preserve">Kommunale Haushalts- und 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Soweit in dieser Verordnung oder im Haushaltsplan nichts anderes bestimmt ist, sind die Aufwendungen, die zu einem Budget gehören, gegenseitig deckungsfähig. Das Gleiche gilt für Auszahlungen sowie Verpflichtungsermächtigungen.</w:t>
      </w:r>
    </w:p>
    <w:p>
      <w:r>
        <w:t xml:space="preserve">(2) Aufwendungen, die nicht nach Absatz 1 deckungsfähig sind, können für gegenseitig oder einseitig deckungsfähig erklärt werden, wenn sie sachlich zusammenhängen. Absatz 1 Satz 2 gilt entsprechend.</w:t>
      </w:r>
    </w:p>
    <w:p>
      <w:r>
        <w:t xml:space="preserve">(3) Zahlungswirksame Aufwendungen eines Budgets können zugunsten von Investitionsauszahlungen des Budgets nach § 5 Nummer 26 bis 32 für einseitig deckungsfähig erklärt werden.</w:t>
      </w:r>
    </w:p>
    <w:p>
      <w:r>
        <w:t xml:space="preserve">(4) Es kann bestimmt werden, dass Mehrerträge entsprechende Ansätze für Aufwendungen erhöhen oder Mindererträge entsprechende Ansätze für Aufwendungen vermindern. Das Gleiche gilt für Einzahlungen und Auszahlungen.</w:t>
      </w:r>
    </w:p>
    <w:p>
      <w:r>
        <w:t xml:space="preserve">(5) Ab dem Haushaltsjahr 2027 darf die Bewirtschaftung der Budgets nicht zu einer negativen Veränderung des Gesamtergebnisses nach § 4 Absatz 1 Nummer 26 sowie des Finanzergebnisses nach § 5 Nummer 35 führen. Plan-abweichungen nach den Absätzen 1 bis 4 gelten nicht als überplanmäßig.</w:t>
      </w:r>
    </w:p>
    <w:p>
      <w:r>
        <w:t xml:space="preserve">(6) Bis einschließlich des Haushaltsjahres 2026 darf die Bewirtschaftung der Budgets nicht zu einer negativen Veränderung des ordentlichen Jahresergebnisses nach § 4 Absatz 1 Nummer 22 sowie des Finanzergebnisses nach § 5 Nummer 35 führen. Planabweichungen nach den Absätzen 1 bis 4 gelten nicht als überplanmäßig.</w:t>
      </w:r>
    </w:p>
    <w:p>
      <w:r>
        <w:rPr>
          <w:color w:val="555555"/>
          <w:sz w:val="17"/>
        </w:rPr>
        <w:t xml:space="preserve">Zitiervorschlag: § 20 KomHKV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https://recht.nulegal.eu/gesetze/KomHKV/20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