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KomHKV (Brandenburg) — Kosten- und Leistungsrechnung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Unterstützung der Verwaltungssteuerung und für die Beurteilung der Wirtschaftlichkeit und Leistungsfähigkeit bei der Aufgabenerfüllung ist eine Kosten- und Leistungsrechnung zu führen. Den Umfang und die Ausgestaltung bestimmt die Gemeinde nach ihren örtlichen Bedürfnissen.</w:t>
      </w:r>
    </w:p>
    <w:p>
      <w:r>
        <w:t xml:space="preserve">(2) Interne Leistungen zwischen den Teilergebnishaushalten sind auf der Grundlage der Kosten- und Leistungsrechnung darzustellen, soweit dies für Steuerungszwecke oder für die Kalkulation von Gebühren, privatrechtlichen Entgelten oder Kostenerstattungen erforderlich ist.</w:t>
      </w:r>
    </w:p>
    <w:p>
      <w:r>
        <w:rPr>
          <w:color w:val="555555"/>
          <w:sz w:val="17"/>
        </w:rPr>
        <w:t xml:space="preserve">Zitiervorschlag: § 17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