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KomHKV (Brandenburg) — Nachtragshaushaltsplan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Nachtragshaushaltsplan muss für das Haushaltsjahr alle erheblichen Änderungen, die im Zeitpunkt seiner Aufstellung bekannt sind, enthalten. Für die Änderungen nach Satz 1 gilt § 3 entsprechend.</w:t>
      </w:r>
    </w:p>
    <w:p>
      <w:r>
        <w:t xml:space="preserve">(2) Bereits entstandene über- oder außerplanmäßige Aufwendungen oder geleistete über- oder außerplanmäßige Auszahlungen können veranschlagt werden.</w:t>
      </w:r>
    </w:p>
    <w:p>
      <w:r>
        <w:rPr>
          <w:color w:val="555555"/>
          <w:sz w:val="17"/>
        </w:rPr>
        <w:t xml:space="preserve">Zitiervorschlag: § 10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KomHKV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