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KomHKV (Brandenburg) — Geltungsbereich</w:t>
      </w:r>
    </w:p>
    <w:p>
      <w:r>
        <w:rPr>
          <w:color w:val="555555"/>
          <w:sz w:val="18"/>
        </w:rPr>
        <w:t xml:space="preserve">Kommunale Haushalts- und Kassenverordnung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Diese Verordnung gilt für Gemeinden, die ihre Haushaltswirtschaft nach den Regeln der doppelten Buchführung für Gemeinden führen. Auf die Verbandsgemeinden, Landkreise und Ämter sind die Vorschriften dieser Verordnung entsprechend anwendbar.</w:t>
      </w:r>
    </w:p>
    <w:p>
      <w:r>
        <w:t xml:space="preserve">(2) Soweit auf Treuhandvermögen der Gemeinden, Verbandsgemeinden, Landkreise und Ämter gesetzliche Vorschriften über die Haushaltswirtschaft gemäß Absatz 1 Anwendung finden, gilt diese Verordnung sinngemäß.</w:t>
      </w:r>
    </w:p>
    <w:p>
      <w:r>
        <w:t xml:space="preserve">(3) Soweit auf Eigenbetriebe der Gemeinden, Verbandsgemeinden, Landkreise und Ämter gesetzliche Vorschriften über die Haushaltswirtschaft gemäß Absatz 1 Anwendung finden, gilt diese Verordnung sinngemäß. Dies gilt nicht, soweit durch Gesetz oder aufgrund eines Gesetzes besondere Regelungen getroffen werden.</w:t>
      </w:r>
    </w:p>
    <w:p>
      <w:r>
        <w:rPr>
          <w:color w:val="555555"/>
          <w:sz w:val="17"/>
        </w:rPr>
        <w:t xml:space="preserve">Zitiervorschlag: § 1 KomHKV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https://recht.nulegal.eu/gesetze/KomHKV/1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KomHKV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