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KomFreiVO (Sachsen) — Inkrafttreten</w:t>
      </w:r>
    </w:p>
    <w:p>
      <w:r>
        <w:rPr>
          <w:color w:val="555555"/>
          <w:sz w:val="18"/>
        </w:rPr>
        <w:t xml:space="preserve">Kommunalfreistellungsverordnung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12. Dezember 1996</w:t>
      </w:r>
    </w:p>
    <w:p>
      <w:r>
        <w:t xml:space="preserve">Der Staatsminister des Innern</w:t>
      </w:r>
    </w:p>
    <w:p>
      <w:r>
        <w:t xml:space="preserve">Klaus Hardraht</w:t>
      </w:r>
    </w:p>
    <w:p>
      <w:r>
        <w:rPr>
          <w:color w:val="555555"/>
          <w:sz w:val="17"/>
        </w:rPr>
        <w:t xml:space="preserve">Zitiervorschlag: § 4 KomFreiVO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https://recht.nulegal.eu/gesetze/KomFreiVO/4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