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KomFreiVO (Sachsen) — Ausschluß von Freistellungen</w:t>
      </w:r>
    </w:p>
    <w:p>
      <w:r>
        <w:rPr>
          <w:color w:val="555555"/>
          <w:sz w:val="18"/>
        </w:rPr>
        <w:t xml:space="preserve">Kommunalfreistellungsverordnung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Freistellung nach § 2 gilt nicht, wenn der Vertragspartner</w:t>
      </w:r>
    </w:p>
    <w:p>
      <w:r>
        <w:t xml:space="preserve">1. Bediensteter der beteiligten Körperschaft, Mitglied ihres Hauptorgans oder eines seiner Ausschüsse, eines Ortschaftsrates oder eines Beirates ist,</w:t>
      </w:r>
    </w:p>
    <w:p>
      <w:r>
        <w:t xml:space="preserve">2. zum Bürgermeister, zum Landrat, zu einem Beigeordneten, zum Verbandsvorsitzenden oder zu dem Bediensteten, der die Körperschaft beim Abschluß des Rechtsgeschäftes vertritt, in einem die Befangenheit nach § 20 Abs. 1 Nr. 1 bis 3 SächsGemO oder § 18 Abs. 1 Nr. 1 bis 3 SächsLKrO begründenden Verhältnis steht,</w:t>
      </w:r>
    </w:p>
    <w:p>
      <w:r>
        <w:t xml:space="preserve">3. in der Angelegenheit bereits in anderer Eigenschaft, zum Beispiel als Gutachter, tätig geworden ist oder</w:t>
      </w:r>
    </w:p>
    <w:p>
      <w:r>
        <w:t xml:space="preserve">4. eine Eigengesellschaft oder Beteiligungsgesellschaft der an dem Rechtsgeschäft beteiligten Körperschaft ist.</w:t>
      </w:r>
    </w:p>
    <w:p>
      <w:r>
        <w:rPr>
          <w:color w:val="555555"/>
          <w:sz w:val="17"/>
        </w:rPr>
        <w:t xml:space="preserve">Zitiervorschlag: § 3 KomFreiVO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https://recht.nulegal.eu/gesetze/KomFreiVO/3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