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KomFreiVO (Sachsen) — Anwendungsbereich</w:t>
      </w:r>
    </w:p>
    <w:p>
      <w:r>
        <w:rPr>
          <w:color w:val="555555"/>
          <w:sz w:val="18"/>
        </w:rPr>
        <w:t xml:space="preserve">Kommunalfreistellungsverordnung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dieser Verordnung sind auf Leasingverträge der Gemeinden, Landkreise, Verwaltungsverbände und Zweckverbände anzuwenden.</w:t>
      </w:r>
    </w:p>
    <w:p>
      <w:r>
        <w:rPr>
          <w:color w:val="555555"/>
          <w:sz w:val="17"/>
        </w:rPr>
        <w:t xml:space="preserve">Zitiervorschlag: § 1 KomFreiVO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https://recht.nulegal.eu/gesetze/KomFreiVO/1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