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KomDAEVO (Sachsen) — Übergangsvorschrift</w:t>
      </w:r>
    </w:p>
    <w:p>
      <w:r>
        <w:rPr>
          <w:color w:val="555555"/>
          <w:sz w:val="18"/>
        </w:rPr>
        <w:t xml:space="preserve">Kommunaldienstaufwands­entschädigungsverordnung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hauptamtliche Ortsvorsteher gelten die Bestimmungen dieser Verordnung für die hauptamtlichen Bürgermeister entsprechend; maßgebend ist die Einwohnerzahl der Ortschaft.</w:t>
      </w:r>
    </w:p>
    <w:p>
      <w:r>
        <w:rPr>
          <w:color w:val="555555"/>
          <w:sz w:val="17"/>
        </w:rPr>
        <w:t xml:space="preserve">Zitiervorschlag: § 5 KomDAEVO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https://recht.nulegal.eu/gesetze/KomDAEVO/5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