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KomBekVO (Sachsen)</w:t>
      </w:r>
    </w:p>
    <w:p>
      <w:r>
        <w:rPr>
          <w:color w:val="555555"/>
          <w:sz w:val="18"/>
        </w:rPr>
        <w:t xml:space="preserve">Kommunalbekanntmachungsverordnung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</w:t>
      </w:r>
    </w:p>
    <w:p>
      <w:r>
        <w:t xml:space="preserve">– des § 127 Absatz 1 Nummer 3 der Sächsischen Gemeindeordnung in der Fassung der Bekanntmachung vom 3. März 2014 (SächsGVBl. S. 146),</w:t>
      </w:r>
    </w:p>
    <w:p>
      <w:r>
        <w:t xml:space="preserve">– des § 68 Absatz 1 Nummer 2 der Sächsischen Landkreisordnung in der Fassung der Bekanntmachung vom 3. März 2014 (SächsGVBl. S. 180),</w:t>
      </w:r>
    </w:p>
    <w:p>
      <w:r>
        <w:t xml:space="preserve">– des § 5 Absatz 3 Satz 1 des Sächsischen Gesetzes über kommunale Zusammenarbeit in der Fassung der Bekanntmachung vom 3. März 2014 (SächsGVBl. S. 196) in Verbindung mit § 127 Absatz 1 Nummer 3 der Sächsischen Gemeindeordnung und</w:t>
      </w:r>
    </w:p>
    <w:p>
      <w:r>
        <w:t xml:space="preserve">– des § 47 Absatz 2 Satz 1 und § 5 Absatz 3 Satz 1 des Sächsischen Gesetzes über kommunale Zusammenarbeit in Verbindung mit § 127 Absatz 1 Nummer 3 der Sächsischen Gemeindeordnung</w:t>
      </w:r>
    </w:p>
    <w:p>
      <w:r>
        <w:t xml:space="preserve">verordnet das Staatsministerium des Innern:</w:t>
      </w:r>
    </w:p>
    <w:p>
      <w:r>
        <w:rPr>
          <w:color w:val="555555"/>
          <w:sz w:val="17"/>
        </w:rPr>
        <w:t xml:space="preserve">Zitiervorschlag: Eingangsformel KomBekVO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https://recht.nulegal.eu/gesetze/KomBekVO/eingangsformel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